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F142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b/>
          <w:bCs/>
          <w:color w:val="auto"/>
          <w:kern w:val="2"/>
          <w:sz w:val="28"/>
          <w:szCs w:val="28"/>
          <w:lang w:eastAsia="zh-CN"/>
        </w:rPr>
      </w:pPr>
      <w:r>
        <w:rPr>
          <w:rFonts w:hint="default" w:ascii="黑体" w:hAnsi="黑体" w:eastAsia="黑体" w:cs="黑体"/>
          <w:b/>
          <w:bCs/>
          <w:color w:val="auto"/>
          <w:kern w:val="2"/>
          <w:sz w:val="28"/>
          <w:szCs w:val="28"/>
          <w:lang w:eastAsia="zh-CN"/>
        </w:rPr>
        <w:t>鲜益母草</w:t>
      </w:r>
      <w:r>
        <w:rPr>
          <w:rFonts w:hint="default" w:ascii="黑体" w:hAnsi="黑体" w:eastAsia="黑体" w:cs="黑体"/>
          <w:b/>
          <w:bCs/>
          <w:color w:val="auto"/>
          <w:kern w:val="2"/>
          <w:sz w:val="28"/>
          <w:szCs w:val="28"/>
          <w:lang w:eastAsia="zh-CN"/>
        </w:rPr>
        <w:t>配方颗粒</w:t>
      </w:r>
    </w:p>
    <w:p w14:paraId="7EEF22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en-US"/>
        </w:rPr>
      </w:pP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/>
        </w:rPr>
        <w:t>Xianyimucao</w:t>
      </w:r>
      <w:r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en-US"/>
        </w:rPr>
        <w:t xml:space="preserve"> PeifangKeli</w:t>
      </w:r>
    </w:p>
    <w:p w14:paraId="6099A4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</w:p>
    <w:p w14:paraId="44EF05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highlight w:val="none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highlight w:val="none"/>
        </w:rPr>
        <w:t>来源</w:t>
      </w: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highlight w:val="none"/>
        </w:rPr>
        <w:t xml:space="preserve">】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本品为唇形科植物益母草</w:t>
      </w:r>
      <w:r>
        <w:rPr>
          <w:rFonts w:hint="default" w:ascii="Times New Roman" w:hAnsi="Times New Roman" w:eastAsia="宋体" w:cs="Times New Roman"/>
          <w:i/>
          <w:iCs/>
          <w:color w:val="auto"/>
          <w:sz w:val="21"/>
          <w:szCs w:val="21"/>
          <w:lang w:eastAsia="zh-CN"/>
        </w:rPr>
        <w:t>Leonurus japonicus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 xml:space="preserve"> Houtt.的新鲜地上部分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经炮制并按标准汤剂的主要质量指标加工制成的配方颗粒。</w:t>
      </w:r>
    </w:p>
    <w:p w14:paraId="2E82EC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highlight w:val="none"/>
        </w:rPr>
        <w:t xml:space="preserve">【制法】 </w:t>
      </w:r>
      <w:r>
        <w:rPr>
          <w:rFonts w:hint="default" w:ascii="Times New Roman" w:hAnsi="Times New Roman" w:eastAsia="宋体" w:cs="Times New Roman"/>
          <w:bCs/>
          <w:color w:val="auto"/>
          <w:kern w:val="0"/>
          <w:sz w:val="21"/>
          <w:szCs w:val="21"/>
          <w:highlight w:val="none"/>
        </w:rPr>
        <w:t>取</w:t>
      </w:r>
      <w:r>
        <w:rPr>
          <w:rFonts w:hint="default" w:ascii="Times New Roman" w:hAnsi="Times New Roman" w:eastAsia="宋体" w:cs="Times New Roman"/>
          <w:bCs/>
          <w:color w:val="auto"/>
          <w:kern w:val="0"/>
          <w:sz w:val="21"/>
          <w:szCs w:val="21"/>
          <w:highlight w:val="none"/>
          <w:lang w:eastAsia="zh-CN"/>
        </w:rPr>
        <w:t>鲜益母草</w:t>
      </w:r>
      <w:r>
        <w:rPr>
          <w:rFonts w:hint="default" w:ascii="Times New Roman" w:hAnsi="Times New Roman" w:eastAsia="宋体" w:cs="Times New Roman"/>
          <w:bCs/>
          <w:color w:val="auto"/>
          <w:kern w:val="0"/>
          <w:sz w:val="21"/>
          <w:szCs w:val="21"/>
          <w:highlight w:val="none"/>
        </w:rPr>
        <w:t>饮片</w:t>
      </w:r>
      <w:r>
        <w:rPr>
          <w:rFonts w:hint="default" w:ascii="Times New Roman" w:hAnsi="Times New Roman" w:eastAsia="宋体" w:cs="Times New Roman"/>
          <w:bCs/>
          <w:color w:val="auto"/>
          <w:kern w:val="0"/>
          <w:sz w:val="21"/>
          <w:szCs w:val="21"/>
          <w:highlight w:val="none"/>
          <w:lang w:val="en-US" w:eastAsia="zh-CN"/>
        </w:rPr>
        <w:t>100</w:t>
      </w:r>
      <w:r>
        <w:rPr>
          <w:rFonts w:hint="default" w:ascii="Times New Roman" w:hAnsi="Times New Roman" w:eastAsia="宋体" w:cs="Times New Roman"/>
          <w:bCs/>
          <w:color w:val="auto"/>
          <w:kern w:val="0"/>
          <w:sz w:val="21"/>
          <w:szCs w:val="21"/>
          <w:highlight w:val="none"/>
        </w:rPr>
        <w:t>00g，加水煎煮，滤过，滤液浓缩成清膏（干浸膏出膏率为</w:t>
      </w:r>
      <w:r>
        <w:rPr>
          <w:rFonts w:hint="default" w:ascii="Times New Roman" w:hAnsi="Times New Roman" w:eastAsia="宋体" w:cs="Times New Roman"/>
          <w:bCs/>
          <w:color w:val="auto"/>
          <w:kern w:val="0"/>
          <w:sz w:val="21"/>
          <w:szCs w:val="21"/>
          <w:highlight w:val="none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bCs/>
          <w:color w:val="auto"/>
          <w:kern w:val="0"/>
          <w:sz w:val="21"/>
          <w:szCs w:val="21"/>
          <w:highlight w:val="none"/>
        </w:rPr>
        <w:t>%~</w:t>
      </w:r>
      <w:r>
        <w:rPr>
          <w:rFonts w:hint="default" w:ascii="Times New Roman" w:hAnsi="Times New Roman" w:eastAsia="宋体" w:cs="Times New Roman"/>
          <w:bCs/>
          <w:color w:val="auto"/>
          <w:kern w:val="0"/>
          <w:sz w:val="21"/>
          <w:szCs w:val="21"/>
          <w:highlight w:val="none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bCs/>
          <w:color w:val="auto"/>
          <w:kern w:val="0"/>
          <w:sz w:val="21"/>
          <w:szCs w:val="21"/>
          <w:highlight w:val="none"/>
        </w:rPr>
        <w:t>.</w:t>
      </w:r>
      <w:r>
        <w:rPr>
          <w:rFonts w:hint="default" w:ascii="Times New Roman" w:hAnsi="Times New Roman" w:eastAsia="宋体" w:cs="Times New Roman"/>
          <w:bCs/>
          <w:color w:val="auto"/>
          <w:kern w:val="0"/>
          <w:sz w:val="21"/>
          <w:szCs w:val="21"/>
          <w:highlight w:val="none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bCs/>
          <w:color w:val="auto"/>
          <w:kern w:val="0"/>
          <w:sz w:val="21"/>
          <w:szCs w:val="21"/>
          <w:highlight w:val="none"/>
        </w:rPr>
        <w:t>%），加入辅料适量，干燥（或干燥，粉碎），再加入辅料适量，混匀，制粒，制成1000g，即得。</w:t>
      </w:r>
    </w:p>
    <w:p w14:paraId="6931F0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highlight w:val="none"/>
        </w:rPr>
        <w:t xml:space="preserve">【性状】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本品为灰黄色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至棕黄色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颗粒；气微，味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微苦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。</w:t>
      </w:r>
    </w:p>
    <w:p w14:paraId="1A2D5F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highlight w:val="none"/>
        </w:rPr>
        <w:t xml:space="preserve">【鉴别】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取本品1g，研细，加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70%乙醇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2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ml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，超声处理30分钟，放冷，滤过，滤液蒸干，残渣加无水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乙醇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1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ml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使溶解，离心，取上清液作为供试品溶液。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另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取盐酸水苏碱对照品，加无水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乙醇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制成每1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ml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含1mg的溶液，作为对照品溶液。照薄层色谱法（中国药典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2020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年版通则0502）试验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吸取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上述两种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溶液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各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1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0~15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μl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，分别点于同一硅胶G薄层板上，以丙酮-无水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乙醇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-盐酸（10∶6∶1）为展开剂，取出，晾干，在105℃加热10分钟，直接喷以稀碘化铋钾试液-三氯化铁试液（10∶1）混合溶液至斑点显色清晰。在日光灯下检视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供试品色谱中，在与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对照品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色谱相应的位置上，显相同颜色的斑点。</w:t>
      </w:r>
    </w:p>
    <w:p w14:paraId="499AE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highlight w:val="none"/>
        </w:rPr>
        <w:t xml:space="preserve">【特征图谱】 </w:t>
      </w:r>
      <w:r>
        <w:rPr>
          <w:rFonts w:hint="default" w:ascii="Times New Roman" w:hAnsi="Times New Roman" w:eastAsia="宋体" w:cs="Times New Roman"/>
          <w:bCs/>
          <w:color w:val="auto"/>
          <w:sz w:val="21"/>
          <w:szCs w:val="21"/>
          <w:highlight w:val="none"/>
        </w:rPr>
        <w:t>照高效液相色谱法（</w:t>
      </w:r>
      <w:r>
        <w:rPr>
          <w:rFonts w:hint="default" w:ascii="Times New Roman" w:hAnsi="Times New Roman" w:eastAsia="宋体" w:cs="Times New Roman"/>
          <w:bCs/>
          <w:color w:val="auto"/>
          <w:sz w:val="21"/>
          <w:szCs w:val="21"/>
          <w:highlight w:val="none"/>
          <w:lang w:eastAsia="zh-CN"/>
        </w:rPr>
        <w:t>中国药典2020年版</w:t>
      </w:r>
      <w:r>
        <w:rPr>
          <w:rFonts w:hint="default" w:ascii="Times New Roman" w:hAnsi="Times New Roman" w:eastAsia="宋体" w:cs="Times New Roman"/>
          <w:bCs/>
          <w:color w:val="auto"/>
          <w:sz w:val="21"/>
          <w:szCs w:val="21"/>
          <w:highlight w:val="none"/>
        </w:rPr>
        <w:t>通则0512）测定。</w:t>
      </w:r>
    </w:p>
    <w:p w14:paraId="0496AC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highlight w:val="none"/>
        </w:rPr>
        <w:t xml:space="preserve">色谱条件与系统适用性试验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以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十八烷基硅烷键合硅胶为填充剂（柱长为100mm，内径为2.1mm，粒径为1.8µm）；以乙腈为流动相A，以0.1%磷酸溶液为流动相B，按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下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表中的规定进行梯度洗脱；流速为每分钟0.25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ml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；柱温为30℃；检测波长为277nm。理论板数按盐酸益母草碱峰计算应不低于6000。</w:t>
      </w:r>
    </w:p>
    <w:tbl>
      <w:tblPr>
        <w:tblStyle w:val="5"/>
        <w:tblW w:w="4789" w:type="pct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0"/>
        <w:gridCol w:w="2721"/>
        <w:gridCol w:w="2721"/>
      </w:tblGrid>
      <w:tr w14:paraId="6A69583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666" w:type="pct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 w14:paraId="5D97B7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时间（min）</w:t>
            </w:r>
          </w:p>
        </w:tc>
        <w:tc>
          <w:tcPr>
            <w:tcW w:w="1666" w:type="pct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 w14:paraId="3399C0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流动相A（%）</w:t>
            </w:r>
          </w:p>
        </w:tc>
        <w:tc>
          <w:tcPr>
            <w:tcW w:w="1666" w:type="pct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 w14:paraId="12068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流动相B（%）</w:t>
            </w:r>
          </w:p>
        </w:tc>
      </w:tr>
      <w:tr w14:paraId="744E53A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666" w:type="pct"/>
            <w:tcBorders>
              <w:top w:val="single" w:color="auto" w:sz="4" w:space="0"/>
            </w:tcBorders>
            <w:noWrap w:val="0"/>
            <w:vAlign w:val="center"/>
          </w:tcPr>
          <w:p w14:paraId="3DA769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0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~11</w:t>
            </w:r>
          </w:p>
        </w:tc>
        <w:tc>
          <w:tcPr>
            <w:tcW w:w="1666" w:type="pct"/>
            <w:tcBorders>
              <w:top w:val="single" w:color="auto" w:sz="4" w:space="0"/>
            </w:tcBorders>
            <w:noWrap w:val="0"/>
            <w:vAlign w:val="center"/>
          </w:tcPr>
          <w:p w14:paraId="43047F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3→10</w:t>
            </w:r>
          </w:p>
        </w:tc>
        <w:tc>
          <w:tcPr>
            <w:tcW w:w="1666" w:type="pct"/>
            <w:tcBorders>
              <w:top w:val="single" w:color="auto" w:sz="4" w:space="0"/>
            </w:tcBorders>
            <w:noWrap w:val="0"/>
            <w:vAlign w:val="center"/>
          </w:tcPr>
          <w:p w14:paraId="14C0A0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97→90</w:t>
            </w:r>
          </w:p>
        </w:tc>
      </w:tr>
      <w:tr w14:paraId="13C9BFA9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666" w:type="pct"/>
            <w:noWrap w:val="0"/>
            <w:vAlign w:val="center"/>
          </w:tcPr>
          <w:p w14:paraId="00BB97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11~15</w:t>
            </w:r>
          </w:p>
        </w:tc>
        <w:tc>
          <w:tcPr>
            <w:tcW w:w="1666" w:type="pct"/>
            <w:noWrap w:val="0"/>
            <w:vAlign w:val="center"/>
          </w:tcPr>
          <w:p w14:paraId="5D7114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10→11</w:t>
            </w:r>
          </w:p>
        </w:tc>
        <w:tc>
          <w:tcPr>
            <w:tcW w:w="1666" w:type="pct"/>
            <w:noWrap w:val="0"/>
            <w:vAlign w:val="center"/>
          </w:tcPr>
          <w:p w14:paraId="59A443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90→89</w:t>
            </w:r>
          </w:p>
        </w:tc>
      </w:tr>
      <w:tr w14:paraId="582BA3EC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666" w:type="pct"/>
            <w:noWrap w:val="0"/>
            <w:vAlign w:val="center"/>
          </w:tcPr>
          <w:p w14:paraId="785566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15~22</w:t>
            </w:r>
          </w:p>
        </w:tc>
        <w:tc>
          <w:tcPr>
            <w:tcW w:w="1666" w:type="pct"/>
            <w:noWrap w:val="0"/>
            <w:vAlign w:val="center"/>
          </w:tcPr>
          <w:p w14:paraId="0497EA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11→12</w:t>
            </w:r>
          </w:p>
        </w:tc>
        <w:tc>
          <w:tcPr>
            <w:tcW w:w="1666" w:type="pct"/>
            <w:noWrap w:val="0"/>
            <w:vAlign w:val="center"/>
          </w:tcPr>
          <w:p w14:paraId="245243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89→88</w:t>
            </w:r>
          </w:p>
        </w:tc>
      </w:tr>
      <w:tr w14:paraId="0FF24F23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666" w:type="pct"/>
            <w:noWrap w:val="0"/>
            <w:vAlign w:val="center"/>
          </w:tcPr>
          <w:p w14:paraId="697D5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22~28</w:t>
            </w:r>
          </w:p>
        </w:tc>
        <w:tc>
          <w:tcPr>
            <w:tcW w:w="1666" w:type="pct"/>
            <w:noWrap w:val="0"/>
            <w:vAlign w:val="center"/>
          </w:tcPr>
          <w:p w14:paraId="57C12F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12→16</w:t>
            </w:r>
          </w:p>
        </w:tc>
        <w:tc>
          <w:tcPr>
            <w:tcW w:w="1666" w:type="pct"/>
            <w:noWrap w:val="0"/>
            <w:vAlign w:val="center"/>
          </w:tcPr>
          <w:p w14:paraId="18157A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88→84</w:t>
            </w:r>
          </w:p>
        </w:tc>
      </w:tr>
      <w:tr w14:paraId="15482EEF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666" w:type="pct"/>
            <w:noWrap w:val="0"/>
            <w:vAlign w:val="center"/>
          </w:tcPr>
          <w:p w14:paraId="11BA1E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28~30</w:t>
            </w:r>
          </w:p>
        </w:tc>
        <w:tc>
          <w:tcPr>
            <w:tcW w:w="1666" w:type="pct"/>
            <w:noWrap w:val="0"/>
            <w:vAlign w:val="center"/>
          </w:tcPr>
          <w:p w14:paraId="0C1577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16→20</w:t>
            </w:r>
          </w:p>
        </w:tc>
        <w:tc>
          <w:tcPr>
            <w:tcW w:w="1666" w:type="pct"/>
            <w:noWrap w:val="0"/>
            <w:vAlign w:val="center"/>
          </w:tcPr>
          <w:p w14:paraId="0E9BC5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84→80</w:t>
            </w:r>
          </w:p>
        </w:tc>
      </w:tr>
      <w:tr w14:paraId="5E02B9E8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666" w:type="pct"/>
            <w:noWrap w:val="0"/>
            <w:vAlign w:val="center"/>
          </w:tcPr>
          <w:p w14:paraId="0C7174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30~34</w:t>
            </w:r>
          </w:p>
        </w:tc>
        <w:tc>
          <w:tcPr>
            <w:tcW w:w="1666" w:type="pct"/>
            <w:noWrap w:val="0"/>
            <w:vAlign w:val="center"/>
          </w:tcPr>
          <w:p w14:paraId="311A00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20→22</w:t>
            </w:r>
          </w:p>
        </w:tc>
        <w:tc>
          <w:tcPr>
            <w:tcW w:w="1666" w:type="pct"/>
            <w:noWrap w:val="0"/>
            <w:vAlign w:val="center"/>
          </w:tcPr>
          <w:p w14:paraId="1544AD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80→78</w:t>
            </w:r>
          </w:p>
        </w:tc>
      </w:tr>
      <w:tr w14:paraId="614346D4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666" w:type="pct"/>
            <w:noWrap w:val="0"/>
            <w:vAlign w:val="center"/>
          </w:tcPr>
          <w:p w14:paraId="29BC76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34~40</w:t>
            </w:r>
          </w:p>
        </w:tc>
        <w:tc>
          <w:tcPr>
            <w:tcW w:w="1666" w:type="pct"/>
            <w:noWrap w:val="0"/>
            <w:vAlign w:val="center"/>
          </w:tcPr>
          <w:p w14:paraId="256D3E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22→60</w:t>
            </w:r>
          </w:p>
        </w:tc>
        <w:tc>
          <w:tcPr>
            <w:tcW w:w="1666" w:type="pct"/>
            <w:noWrap w:val="0"/>
            <w:vAlign w:val="center"/>
          </w:tcPr>
          <w:p w14:paraId="75679C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78→40</w:t>
            </w:r>
          </w:p>
        </w:tc>
      </w:tr>
      <w:tr w14:paraId="314CD7E7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666" w:type="pct"/>
            <w:noWrap w:val="0"/>
            <w:vAlign w:val="center"/>
          </w:tcPr>
          <w:p w14:paraId="58A5CB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40~41</w:t>
            </w:r>
          </w:p>
        </w:tc>
        <w:tc>
          <w:tcPr>
            <w:tcW w:w="1666" w:type="pct"/>
            <w:noWrap w:val="0"/>
            <w:vAlign w:val="center"/>
          </w:tcPr>
          <w:p w14:paraId="086C24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60→3</w:t>
            </w:r>
          </w:p>
        </w:tc>
        <w:tc>
          <w:tcPr>
            <w:tcW w:w="1666" w:type="pct"/>
            <w:noWrap w:val="0"/>
            <w:vAlign w:val="center"/>
          </w:tcPr>
          <w:p w14:paraId="21B933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40→97</w:t>
            </w:r>
          </w:p>
        </w:tc>
      </w:tr>
      <w:tr w14:paraId="33E08030"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666" w:type="pct"/>
            <w:noWrap w:val="0"/>
            <w:vAlign w:val="center"/>
          </w:tcPr>
          <w:p w14:paraId="2669F5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41~50</w:t>
            </w:r>
          </w:p>
        </w:tc>
        <w:tc>
          <w:tcPr>
            <w:tcW w:w="1666" w:type="pct"/>
            <w:noWrap w:val="0"/>
            <w:vAlign w:val="center"/>
          </w:tcPr>
          <w:p w14:paraId="233CCD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666" w:type="pct"/>
            <w:noWrap w:val="0"/>
            <w:vAlign w:val="center"/>
          </w:tcPr>
          <w:p w14:paraId="1EC3DA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97</w:t>
            </w:r>
          </w:p>
        </w:tc>
      </w:tr>
    </w:tbl>
    <w:p w14:paraId="45E53B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highlight w:val="none"/>
          <w:lang w:val="en-US"/>
        </w:rPr>
      </w:pP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highlight w:val="none"/>
        </w:rPr>
        <w:t xml:space="preserve">参照物溶液的制备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取新绿原酸、绿原酸、盐酸益母草碱、芦丁对照品适量，精密称定，加70%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甲醇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制成每1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ml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含新绿原酸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μg、绿原酸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15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μg、盐酸益母草碱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25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μg、芦丁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40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μg的溶液，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作为对照品参照物溶液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highlight w:val="none"/>
          <w:lang w:eastAsia="zh-CN"/>
        </w:rPr>
        <w:t>。</w:t>
      </w:r>
    </w:p>
    <w:p w14:paraId="0BC9D7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highlight w:val="none"/>
        </w:rPr>
        <w:t xml:space="preserve">供试品溶液的制备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同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【含量测定】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项。</w:t>
      </w:r>
    </w:p>
    <w:p w14:paraId="660889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highlight w:val="none"/>
        </w:rPr>
        <w:t xml:space="preserve">测定法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分别精密吸取参照物溶液与供试品溶液各1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μl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，注入液相色谱仪，测定，即得。</w:t>
      </w:r>
    </w:p>
    <w:p w14:paraId="799AF0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供试品色谱中应呈现8个特征峰，其中4个峰应分别与相应对照品参照物峰的保留时间相对应；与绿原酸参照物峰相对应的峰为S1峰，计算特征峰2与S1峰的相对保留时间，其相对保留时间应该在规定值的±10%之内，规定值为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：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0.90（峰2）；与盐酸益母草碱参照物峰相对应的峰为S2峰，计算特征峰4、峰5、峰7与S2峰的相对保留时间，其相对保留时间应该在规定值的±10%之内，规定值为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：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0.94（峰4）、0.97（峰5）、1.19（峰7）。</w:t>
      </w:r>
    </w:p>
    <w:p w14:paraId="414C3C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bCs/>
          <w:color w:val="auto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bCs/>
          <w:color w:val="auto"/>
          <w:sz w:val="21"/>
          <w:szCs w:val="21"/>
          <w:lang w:eastAsia="zh-CN"/>
        </w:rPr>
        <w:drawing>
          <wp:inline distT="0" distB="0" distL="114300" distR="114300">
            <wp:extent cx="5272405" cy="1743075"/>
            <wp:effectExtent l="0" t="0" r="4445" b="9525"/>
            <wp:docPr id="1" name="图片 1" descr="鲜益母草成品对照图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鲜益母草成品对照图谱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CFDE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kern w:val="0"/>
          <w:sz w:val="21"/>
          <w:szCs w:val="21"/>
          <w:lang w:eastAsia="zh-CN"/>
        </w:rPr>
        <w:t>对照特征图谱</w:t>
      </w:r>
    </w:p>
    <w:p w14:paraId="492CB4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color w:val="auto"/>
          <w:sz w:val="18"/>
          <w:szCs w:val="18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18"/>
          <w:szCs w:val="18"/>
          <w:lang w:eastAsia="zh-CN"/>
        </w:rPr>
        <w:t>峰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lang w:eastAsia="zh-CN"/>
        </w:rPr>
        <w:t>：新绿原酸；峰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lang w:eastAsia="zh-CN"/>
        </w:rPr>
        <w:t>(S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lang w:eastAsia="zh-CN"/>
        </w:rPr>
        <w:t>)：绿原酸；峰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lang w:eastAsia="zh-CN"/>
        </w:rPr>
        <w:t>(S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lang w:eastAsia="zh-CN"/>
        </w:rPr>
        <w:t>)：盐酸益母草碱；峰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lang w:eastAsia="zh-CN"/>
        </w:rPr>
        <w:t>：芦丁</w:t>
      </w:r>
    </w:p>
    <w:p w14:paraId="176923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Times New Roman" w:hAnsi="Times New Roman" w:eastAsia="宋体" w:cs="Times New Roman"/>
          <w:color w:val="auto"/>
          <w:sz w:val="18"/>
          <w:szCs w:val="18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18"/>
          <w:szCs w:val="18"/>
          <w:lang w:eastAsia="zh-CN"/>
        </w:rPr>
        <w:t>色谱柱：Waters ACQUITY HSS T3，</w:t>
      </w:r>
      <w:r>
        <w:rPr>
          <w:rFonts w:hint="default" w:ascii="Times New Roman" w:hAnsi="Times New Roman" w:eastAsia="宋体" w:cs="Times New Roman"/>
          <w:color w:val="auto"/>
          <w:sz w:val="18"/>
          <w:szCs w:val="18"/>
          <w:lang w:val="en-US" w:eastAsia="zh-CN"/>
        </w:rPr>
        <w:t>2.1mm×100mm，1.8μm</w:t>
      </w:r>
    </w:p>
    <w:p w14:paraId="6B46D7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0"/>
        <w:jc w:val="both"/>
        <w:textAlignment w:val="auto"/>
        <w:rPr>
          <w:rFonts w:hint="default" w:ascii="Times New Roman" w:hAnsi="Times New Roman" w:eastAsia="宋体" w:cs="Times New Roman"/>
          <w:bCs w:val="0"/>
          <w:color w:val="auto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highlight w:val="none"/>
        </w:rPr>
        <w:t xml:space="preserve">【检查】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eastAsia="zh-CN"/>
        </w:rPr>
        <w:t>应符合颗粒剂项下有关的各项规定（中国药典2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  <w:t>020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eastAsia="zh-CN"/>
        </w:rPr>
        <w:t>年版通则</w:t>
      </w:r>
      <w:bookmarkStart w:id="0" w:name="_GoBack"/>
      <w:bookmarkEnd w:id="0"/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eastAsia="zh-CN"/>
        </w:rPr>
        <w:t>0104）。</w:t>
      </w:r>
    </w:p>
    <w:p w14:paraId="22372C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highlight w:val="none"/>
        </w:rPr>
        <w:t>【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highlight w:val="none"/>
        </w:rPr>
        <w:t>浸出物</w:t>
      </w: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highlight w:val="none"/>
        </w:rPr>
        <w:t xml:space="preserve">】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取本品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研细，取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约2g，精密称定，精密加入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乙醇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100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ml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，照醇溶性浸出物测定法项下的热浸法（中国药典2020年版通则2201）测定，不得少于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.0%。</w:t>
      </w:r>
    </w:p>
    <w:p w14:paraId="00D1D4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highlight w:val="none"/>
        </w:rPr>
        <w:t>【</w:t>
      </w: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highlight w:val="none"/>
        </w:rPr>
        <w:t>含量测定】</w:t>
      </w: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/>
        </w:rPr>
        <w:t>盐酸益母草碱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Cs/>
          <w:color w:val="auto"/>
          <w:sz w:val="21"/>
          <w:szCs w:val="21"/>
        </w:rPr>
        <w:t>照高效液相色谱法（中国药典</w:t>
      </w:r>
      <w:r>
        <w:rPr>
          <w:rFonts w:hint="default" w:ascii="Times New Roman" w:hAnsi="Times New Roman" w:eastAsia="宋体" w:cs="Times New Roman"/>
          <w:bCs/>
          <w:color w:val="auto"/>
          <w:sz w:val="21"/>
          <w:szCs w:val="21"/>
          <w:lang w:eastAsia="zh-CN"/>
        </w:rPr>
        <w:t>2020年版</w:t>
      </w:r>
      <w:r>
        <w:rPr>
          <w:rFonts w:hint="default" w:ascii="Times New Roman" w:hAnsi="Times New Roman" w:eastAsia="宋体" w:cs="Times New Roman"/>
          <w:bCs/>
          <w:color w:val="auto"/>
          <w:sz w:val="21"/>
          <w:szCs w:val="21"/>
        </w:rPr>
        <w:t>通则0512）测定。</w:t>
      </w:r>
    </w:p>
    <w:p w14:paraId="3616CB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21"/>
          <w:szCs w:val="21"/>
          <w:highlight w:val="none"/>
        </w:rPr>
        <w:t>色谱条件与系统适用性试验</w:t>
      </w: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highlight w:val="none"/>
        </w:rPr>
        <w:t xml:space="preserve"> </w:t>
      </w:r>
      <w:r>
        <w:rPr>
          <w:rFonts w:hint="default" w:ascii="Times New Roman" w:hAnsi="Times New Roman" w:eastAsia="宋体" w:cs="Times New Roman"/>
          <w:bCs/>
          <w:color w:val="auto"/>
          <w:kern w:val="0"/>
          <w:sz w:val="21"/>
          <w:szCs w:val="21"/>
          <w:highlight w:val="none"/>
        </w:rPr>
        <w:t>以十八烷基硅烷键合硅胶为填充剂；以乙腈-0.4%辛烷磺酸钠的0.1%磷酸溶液（24∶76）为流动相；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流速为每分钟0.2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ml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；柱温为30℃；</w:t>
      </w:r>
      <w:r>
        <w:rPr>
          <w:rFonts w:hint="default" w:ascii="Times New Roman" w:hAnsi="Times New Roman" w:eastAsia="宋体" w:cs="Times New Roman"/>
          <w:bCs/>
          <w:color w:val="auto"/>
          <w:kern w:val="0"/>
          <w:sz w:val="21"/>
          <w:szCs w:val="21"/>
          <w:highlight w:val="none"/>
        </w:rPr>
        <w:t>检测波长为277nm。理论板数按盐酸益母草碱峰计算应不低于6000</w:t>
      </w:r>
      <w:r>
        <w:rPr>
          <w:rFonts w:hint="default" w:ascii="Times New Roman" w:hAnsi="Times New Roman" w:eastAsia="宋体" w:cs="Times New Roman"/>
          <w:color w:val="auto"/>
          <w:kern w:val="0"/>
          <w:sz w:val="21"/>
          <w:szCs w:val="21"/>
          <w:highlight w:val="none"/>
        </w:rPr>
        <w:t>。</w:t>
      </w:r>
    </w:p>
    <w:p w14:paraId="15562E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21"/>
          <w:szCs w:val="21"/>
        </w:rPr>
        <w:t>对照品溶液的制备</w:t>
      </w: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取盐酸益母草碱对照品适量，精密称定，加70%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甲醇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制成每1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ml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含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20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μg的溶液，即得。</w:t>
      </w:r>
    </w:p>
    <w:p w14:paraId="1073FF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21"/>
          <w:szCs w:val="21"/>
        </w:rPr>
        <w:t>供试品溶液的制备</w:t>
      </w: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取本品适量，研细，取约0.2g，精密称定，置具塞锥形瓶中，精密加入70%甲醇25ml，称定重量，超声处理（功率250W，频率40kHz）30分钟，取出，放冷，再称定重量，用70%甲醇补足减失的重量，摇匀，滤过，取续滤液，即得。</w:t>
      </w:r>
    </w:p>
    <w:p w14:paraId="4403E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21"/>
          <w:szCs w:val="21"/>
        </w:rPr>
        <w:t>测定法</w:t>
      </w: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分别精密吸取对照品溶液与供试品溶液各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μl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，注入液相色谱仪，测定，即得。</w:t>
      </w:r>
    </w:p>
    <w:p w14:paraId="561E51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本品每1g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含盐酸益母草碱（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C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vertAlign w:val="subscript"/>
          <w:lang w:val="en-US" w:eastAsia="zh-CN"/>
        </w:rPr>
        <w:t>14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H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vertAlign w:val="subscript"/>
          <w:lang w:val="en-US" w:eastAsia="zh-CN"/>
        </w:rPr>
        <w:t>21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O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vertAlign w:val="subscript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vertAlign w:val="baseline"/>
          <w:lang w:val="en-US" w:eastAsia="zh-CN"/>
        </w:rPr>
        <w:t>N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vertAlign w:val="sub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vertAlign w:val="baseline"/>
          <w:lang w:val="en-US" w:eastAsia="zh-CN"/>
        </w:rPr>
        <w:t>·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vertAlign w:val="baseline"/>
          <w:lang w:val="en-US" w:eastAsia="zh-CN"/>
        </w:rPr>
        <w:t>HCl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应为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mg~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5.3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mg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。</w:t>
      </w:r>
    </w:p>
    <w:p w14:paraId="32D651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/>
        <w:jc w:val="both"/>
        <w:textAlignment w:val="auto"/>
        <w:rPr>
          <w:rFonts w:hint="default" w:ascii="Times New Roman" w:hAnsi="Times New Roman" w:eastAsia="宋体" w:cs="Times New Roman"/>
          <w:bCs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eastAsia="zh-CN"/>
        </w:rPr>
        <w:t>盐酸水苏碱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Cs/>
          <w:color w:val="auto"/>
          <w:sz w:val="21"/>
          <w:szCs w:val="21"/>
        </w:rPr>
        <w:t>照高效液相色谱法（中国药典</w:t>
      </w:r>
      <w:r>
        <w:rPr>
          <w:rFonts w:hint="default" w:ascii="Times New Roman" w:hAnsi="Times New Roman" w:eastAsia="宋体" w:cs="Times New Roman"/>
          <w:bCs/>
          <w:color w:val="auto"/>
          <w:sz w:val="21"/>
          <w:szCs w:val="21"/>
          <w:lang w:eastAsia="zh-CN"/>
        </w:rPr>
        <w:t>2020年版</w:t>
      </w:r>
      <w:r>
        <w:rPr>
          <w:rFonts w:hint="default" w:ascii="Times New Roman" w:hAnsi="Times New Roman" w:eastAsia="宋体" w:cs="Times New Roman"/>
          <w:bCs/>
          <w:color w:val="auto"/>
          <w:sz w:val="21"/>
          <w:szCs w:val="21"/>
        </w:rPr>
        <w:t>通则0512）测定。</w:t>
      </w:r>
    </w:p>
    <w:p w14:paraId="3735FD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21"/>
          <w:szCs w:val="21"/>
        </w:rPr>
        <w:t>色谱条件与系统适用性试验</w:t>
      </w: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以丙基酰胺键合硅胶为填充剂；以乙腈-0.2%冰醋酸溶液（80∶20）为流动相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；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流速为每分钟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1.0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ml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；柱温为30℃；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用蒸发光散射检测器检测。理论板数按盐酸水苏碱峰计算应不低于6000。</w:t>
      </w:r>
    </w:p>
    <w:p w14:paraId="44F4E3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/>
        <w:jc w:val="both"/>
        <w:textAlignment w:val="auto"/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21"/>
          <w:szCs w:val="21"/>
          <w:lang w:val="en-US" w:eastAsia="zh-CN"/>
        </w:rPr>
        <w:t>对照品</w:t>
      </w:r>
      <w:r>
        <w:rPr>
          <w:rFonts w:hint="default" w:ascii="Times New Roman" w:hAnsi="Times New Roman" w:eastAsia="宋体" w:cs="Times New Roman"/>
          <w:b/>
          <w:bCs w:val="0"/>
          <w:color w:val="auto"/>
          <w:sz w:val="21"/>
          <w:szCs w:val="21"/>
        </w:rPr>
        <w:t>溶液的制备</w:t>
      </w: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</w:rPr>
        <w:t>取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eastAsia="zh-CN"/>
        </w:rPr>
        <w:t>盐酸水苏碱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</w:rPr>
        <w:t>对照品适量，精密称定，加70%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eastAsia="zh-CN"/>
        </w:rPr>
        <w:t>甲醇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</w:rPr>
        <w:t>制成每1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eastAsia="zh-CN"/>
        </w:rPr>
        <w:t>ml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</w:rPr>
        <w:t>含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val="en-US" w:eastAsia="zh-CN"/>
        </w:rPr>
        <w:t>100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eastAsia="zh-CN"/>
        </w:rPr>
        <w:t>μ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</w:rPr>
        <w:t>g的溶液，即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21"/>
          <w:szCs w:val="21"/>
          <w:lang w:val="en-US" w:eastAsia="zh-CN"/>
        </w:rPr>
        <w:t>得。</w:t>
      </w:r>
    </w:p>
    <w:p w14:paraId="09D932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21"/>
          <w:szCs w:val="21"/>
        </w:rPr>
        <w:t>供试品溶液的制备</w:t>
      </w: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同</w:t>
      </w: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>【含量测定】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盐酸益母草碱项。</w:t>
      </w:r>
    </w:p>
    <w:p w14:paraId="4E31F3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sz w:val="21"/>
          <w:szCs w:val="21"/>
        </w:rPr>
        <w:t>测定法</w:t>
      </w: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分别精密吸取对照品溶液5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μl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、10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μl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、供试品溶液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~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μl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</w:rPr>
        <w:t>，注入液相色谱仪，测定，用外标两点法对数方程计算，即得。</w:t>
      </w:r>
    </w:p>
    <w:p w14:paraId="1C03E2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本品每1g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eastAsia="zh-CN"/>
        </w:rPr>
        <w:t>含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盐酸水苏碱（C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vertAlign w:val="subscript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H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vertAlign w:val="subscript"/>
          <w:lang w:val="en-US" w:eastAsia="zh-CN"/>
        </w:rPr>
        <w:t>13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vertAlign w:val="baseline"/>
          <w:lang w:val="en-US" w:eastAsia="zh-CN"/>
        </w:rPr>
        <w:t>N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O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/>
          <w:bCs/>
          <w:color w:val="auto"/>
          <w:sz w:val="21"/>
          <w:szCs w:val="21"/>
          <w:vertAlign w:val="baseline"/>
          <w:lang w:val="en-US" w:eastAsia="zh-CN"/>
        </w:rPr>
        <w:t>·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vertAlign w:val="baseline"/>
          <w:lang w:val="en-US" w:eastAsia="zh-CN"/>
        </w:rPr>
        <w:t>HCl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应为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10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.0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mg~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60.0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mg。</w:t>
      </w:r>
    </w:p>
    <w:p w14:paraId="7D62FD54">
      <w:pPr>
        <w:keepNext w:val="0"/>
        <w:keepLines w:val="0"/>
        <w:pageBreakBefore w:val="0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【</w:t>
      </w: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highlight w:val="none"/>
        </w:rPr>
        <w:t>规格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】 每1g配方颗粒相当于饮片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  <w:lang w:val="en-US" w:eastAsia="zh-CN"/>
        </w:rPr>
        <w:t>10.0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g</w:t>
      </w:r>
    </w:p>
    <w:p w14:paraId="6096A8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/>
        <w:jc w:val="both"/>
        <w:textAlignment w:val="auto"/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b/>
          <w:color w:val="auto"/>
          <w:sz w:val="21"/>
          <w:szCs w:val="21"/>
          <w:highlight w:val="none"/>
        </w:rPr>
        <w:t xml:space="preserve">【贮藏】 </w:t>
      </w:r>
      <w:r>
        <w:rPr>
          <w:rFonts w:hint="default" w:ascii="Times New Roman" w:hAnsi="Times New Roman" w:eastAsia="宋体" w:cs="Times New Roman"/>
          <w:color w:val="auto"/>
          <w:sz w:val="21"/>
          <w:szCs w:val="21"/>
          <w:highlight w:val="none"/>
        </w:rPr>
        <w:t>密封。</w:t>
      </w:r>
    </w:p>
    <w:p w14:paraId="199E255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br w:type="page"/>
      </w:r>
    </w:p>
    <w:p w14:paraId="4866AE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ZmMmNkZWYwMmY2M2MxY2VjOWU3ODQ1ZTNhZDRhNGYifQ=="/>
  </w:docVars>
  <w:rsids>
    <w:rsidRoot w:val="00000000"/>
    <w:rsid w:val="07AD4893"/>
    <w:rsid w:val="0B020A49"/>
    <w:rsid w:val="13EA2964"/>
    <w:rsid w:val="18962E83"/>
    <w:rsid w:val="1EC15FA0"/>
    <w:rsid w:val="2CC31D69"/>
    <w:rsid w:val="2DAC7BB3"/>
    <w:rsid w:val="3B110AAF"/>
    <w:rsid w:val="3FD17C46"/>
    <w:rsid w:val="402B4AF5"/>
    <w:rsid w:val="422C0AEC"/>
    <w:rsid w:val="4846683E"/>
    <w:rsid w:val="4A941456"/>
    <w:rsid w:val="4B651B6D"/>
    <w:rsid w:val="53735F67"/>
    <w:rsid w:val="59A8265F"/>
    <w:rsid w:val="69270DB5"/>
    <w:rsid w:val="6A815C41"/>
    <w:rsid w:val="725C010B"/>
    <w:rsid w:val="76AD2434"/>
    <w:rsid w:val="7CD018DD"/>
    <w:rsid w:val="7FC82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napToGrid w:val="0"/>
      <w:spacing w:line="360" w:lineRule="auto"/>
      <w:ind w:firstLine="480" w:firstLineChars="200"/>
      <w:jc w:val="both"/>
    </w:pPr>
    <w:rPr>
      <w:rFonts w:ascii="Times New Roman" w:hAnsi="Times New Roman" w:eastAsia="宋体" w:cs="黑体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widowControl w:val="0"/>
      <w:adjustRightInd w:val="0"/>
      <w:snapToGrid w:val="0"/>
      <w:spacing w:line="360" w:lineRule="auto"/>
      <w:ind w:firstLine="0" w:firstLineChars="0"/>
      <w:jc w:val="left"/>
      <w:outlineLvl w:val="0"/>
    </w:pPr>
    <w:rPr>
      <w:rFonts w:ascii="Times New Roman" w:hAnsi="Times New Roman" w:eastAsia="宋体" w:cs="Times New Roman"/>
      <w:b/>
      <w:bCs/>
      <w:kern w:val="44"/>
      <w:sz w:val="28"/>
      <w:szCs w:val="4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line="360" w:lineRule="auto"/>
      <w:outlineLvl w:val="1"/>
    </w:pPr>
    <w:rPr>
      <w:rFonts w:ascii="Times New Roman" w:hAnsi="Times New Roman" w:cs="Times New Roman"/>
      <w:b/>
      <w:bCs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styleId="6">
    <w:name w:val="Table Grid"/>
    <w:basedOn w:val="5"/>
    <w:qFormat/>
    <w:uiPriority w:val="59"/>
    <w:pPr>
      <w:jc w:val="center"/>
    </w:pPr>
    <w:rPr>
      <w:sz w:val="18"/>
    </w:rPr>
    <w:tblPr>
      <w:tblBorders>
        <w:top w:val="single" w:color="auto" w:sz="12" w:space="0"/>
        <w:bottom w:val="single" w:color="auto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cPr>
        <w:tcBorders>
          <w:bottom w:val="single" w:color="auto" w:sz="4" w:space="0"/>
        </w:tcBorders>
      </w:tcPr>
    </w:tblStylePr>
  </w:style>
  <w:style w:type="paragraph" w:customStyle="1" w:styleId="8">
    <w:name w:val="引用1"/>
    <w:basedOn w:val="1"/>
    <w:next w:val="1"/>
    <w:qFormat/>
    <w:uiPriority w:val="29"/>
    <w:pPr>
      <w:spacing w:line="240" w:lineRule="auto"/>
      <w:ind w:firstLine="0" w:firstLineChars="0"/>
      <w:jc w:val="center"/>
    </w:pPr>
    <w:rPr>
      <w:rFonts w:cs="Times New Roman"/>
      <w:iCs/>
      <w:color w:val="000000"/>
      <w:kern w:val="0"/>
      <w:sz w:val="18"/>
      <w:szCs w:val="20"/>
    </w:rPr>
  </w:style>
  <w:style w:type="paragraph" w:customStyle="1" w:styleId="9">
    <w:name w:val="样式2"/>
    <w:basedOn w:val="1"/>
    <w:qFormat/>
    <w:uiPriority w:val="0"/>
    <w:pPr>
      <w:ind w:firstLine="0" w:firstLineChars="0"/>
    </w:pPr>
    <w:rPr>
      <w:rFonts w:cs="Times New Roman"/>
      <w:kern w:val="0"/>
      <w:szCs w:val="20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0"/>
      <w:szCs w:val="20"/>
      <w:lang w:val="en-US" w:eastAsia="en-US" w:bidi="ar-SA"/>
    </w:rPr>
  </w:style>
  <w:style w:type="paragraph" w:customStyle="1" w:styleId="12">
    <w:name w:val="Table Paragraph"/>
    <w:basedOn w:val="1"/>
    <w:qFormat/>
    <w:uiPriority w:val="1"/>
    <w:pPr>
      <w:spacing w:before="16"/>
      <w:ind w:left="701" w:right="722"/>
      <w:jc w:val="center"/>
    </w:pPr>
    <w:rPr>
      <w:rFonts w:ascii="Times New Roman" w:hAnsi="Times New Roman" w:eastAsia="Times New Roman" w:cs="Times New Roman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1689</Words>
  <Characters>2153</Characters>
  <Lines>0</Lines>
  <Paragraphs>0</Paragraphs>
  <TotalTime>2</TotalTime>
  <ScaleCrop>false</ScaleCrop>
  <LinksUpToDate>false</LinksUpToDate>
  <CharactersWithSpaces>2183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爱迪生1990</cp:lastModifiedBy>
  <dcterms:modified xsi:type="dcterms:W3CDTF">2024-09-13T10:18:35Z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CCEAF66D129347C48E26F1E6D7498837_13</vt:lpwstr>
  </property>
</Properties>
</file>